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7E01" w14:textId="3916240A" w:rsidR="00AC14D5" w:rsidRDefault="00431D70" w:rsidP="008109C7">
      <w:pPr>
        <w:pStyle w:val="Titre"/>
        <w:rPr>
          <w:sz w:val="48"/>
          <w:szCs w:val="48"/>
        </w:rPr>
      </w:pPr>
      <w:r>
        <w:rPr>
          <w:sz w:val="48"/>
          <w:szCs w:val="48"/>
        </w:rPr>
        <w:t xml:space="preserve">Cahier des charges pour un accompagnement afin d’élaborer et mettre en œuvre un plan d’action climat </w:t>
      </w:r>
    </w:p>
    <w:p w14:paraId="404ACCB6" w14:textId="5CEF5530" w:rsidR="001A2CD5" w:rsidRPr="001A2CD5" w:rsidRDefault="00331320" w:rsidP="001A2CD5">
      <w:r>
        <w:t>Version du 1</w:t>
      </w:r>
      <w:r w:rsidRPr="00331320">
        <w:rPr>
          <w:vertAlign w:val="superscript"/>
        </w:rPr>
        <w:t>er</w:t>
      </w:r>
      <w:r>
        <w:t xml:space="preserve"> avril 2025</w:t>
      </w:r>
    </w:p>
    <w:p w14:paraId="16FA871A" w14:textId="241DB7C7" w:rsidR="00647CC6" w:rsidRDefault="00647CC6" w:rsidP="00647CC6"/>
    <w:p w14:paraId="6E6D0056" w14:textId="779D25B8" w:rsidR="00092246" w:rsidRPr="00456F34" w:rsidRDefault="00431D70" w:rsidP="004A34F0">
      <w:r>
        <w:t>L</w:t>
      </w:r>
      <w:r w:rsidR="001A2CD5">
        <w:t xml:space="preserve">e Canton </w:t>
      </w:r>
      <w:r>
        <w:t xml:space="preserve">propose </w:t>
      </w:r>
      <w:r w:rsidR="00092246">
        <w:t xml:space="preserve">une liste de </w:t>
      </w:r>
      <w:r>
        <w:t>missions et tâches qui peuvent être accomplies par un prestataire externe ou un.e employé.e communal.e</w:t>
      </w:r>
      <w:r w:rsidR="00092246">
        <w:t xml:space="preserve">. </w:t>
      </w:r>
      <w:r w:rsidR="004A34F0" w:rsidRPr="00456F34">
        <w:t xml:space="preserve">La Commune est libre de définir précisément le cahier des charges du </w:t>
      </w:r>
      <w:r>
        <w:t xml:space="preserve">mandat ou </w:t>
      </w:r>
      <w:r w:rsidR="004A34F0" w:rsidRPr="00456F34">
        <w:t xml:space="preserve">poste qui peut prendre plusieurs orientations selon les besoins </w:t>
      </w:r>
      <w:r>
        <w:t>et le contexte</w:t>
      </w:r>
      <w:r w:rsidR="00092246">
        <w:t xml:space="preserve"> sur la base des propositions ci-dessous. Le document ne peut pas être repris en l’état pour un mandat, une sélection est nécessaire.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A34F0" w14:paraId="1B616FE9" w14:textId="77777777" w:rsidTr="0084627C">
        <w:tc>
          <w:tcPr>
            <w:tcW w:w="2972" w:type="dxa"/>
            <w:shd w:val="clear" w:color="auto" w:fill="000000" w:themeFill="text1"/>
          </w:tcPr>
          <w:p w14:paraId="3FDCDBFD" w14:textId="79D4488D" w:rsidR="004A34F0" w:rsidRDefault="00431D70" w:rsidP="00F4475F">
            <w:pPr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</w:tc>
        <w:tc>
          <w:tcPr>
            <w:tcW w:w="6379" w:type="dxa"/>
            <w:shd w:val="clear" w:color="auto" w:fill="000000" w:themeFill="text1"/>
          </w:tcPr>
          <w:p w14:paraId="16F04A5C" w14:textId="77777777" w:rsidR="004A34F0" w:rsidRDefault="004A34F0" w:rsidP="00F4475F">
            <w:pPr>
              <w:rPr>
                <w:b/>
                <w:bCs/>
              </w:rPr>
            </w:pPr>
            <w:r>
              <w:rPr>
                <w:b/>
                <w:bCs/>
              </w:rPr>
              <w:t>Tâches</w:t>
            </w:r>
          </w:p>
        </w:tc>
      </w:tr>
      <w:tr w:rsidR="004A34F0" w14:paraId="2E548FC5" w14:textId="77777777" w:rsidTr="0084627C">
        <w:tc>
          <w:tcPr>
            <w:tcW w:w="2972" w:type="dxa"/>
          </w:tcPr>
          <w:p w14:paraId="6CE3AABE" w14:textId="4CF641E5" w:rsidR="004A34F0" w:rsidRDefault="00431D70" w:rsidP="00F4475F">
            <w:pPr>
              <w:rPr>
                <w:b/>
                <w:bCs/>
              </w:rPr>
            </w:pPr>
            <w:r>
              <w:rPr>
                <w:b/>
                <w:bCs/>
              </w:rPr>
              <w:t>Elaborer</w:t>
            </w:r>
            <w:r w:rsidR="004A34F0">
              <w:rPr>
                <w:b/>
                <w:bCs/>
              </w:rPr>
              <w:t xml:space="preserve"> un plan d’action</w:t>
            </w:r>
            <w:r>
              <w:rPr>
                <w:b/>
                <w:bCs/>
              </w:rPr>
              <w:t xml:space="preserve"> (plan climat, PECC, autre)</w:t>
            </w:r>
          </w:p>
          <w:p w14:paraId="067F3E83" w14:textId="77777777" w:rsidR="004A34F0" w:rsidRDefault="004A34F0" w:rsidP="00F4475F">
            <w:pPr>
              <w:rPr>
                <w:b/>
                <w:bCs/>
              </w:rPr>
            </w:pPr>
          </w:p>
          <w:p w14:paraId="040EF1E0" w14:textId="019421C1" w:rsidR="004A34F0" w:rsidRPr="004A34F0" w:rsidRDefault="004A34F0" w:rsidP="00F4475F"/>
        </w:tc>
        <w:tc>
          <w:tcPr>
            <w:tcW w:w="6379" w:type="dxa"/>
          </w:tcPr>
          <w:p w14:paraId="1020CC83" w14:textId="58AE612C" w:rsidR="00431D70" w:rsidRPr="001A2CD5" w:rsidRDefault="00431D70" w:rsidP="00431D70">
            <w:pPr>
              <w:pStyle w:val="Paragraphedeliste"/>
              <w:numPr>
                <w:ilvl w:val="0"/>
                <w:numId w:val="2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Participer à la rédaction du rapport (selon le modèle proposé par l</w:t>
            </w:r>
            <w:r w:rsidR="00210CF4">
              <w:rPr>
                <w:rFonts w:asciiTheme="minorHAnsi" w:hAnsiTheme="minorHAnsi" w:cstheme="minorHAnsi"/>
                <w:sz w:val="22"/>
                <w:szCs w:val="22"/>
              </w:rPr>
              <w:t>e Canton</w:t>
            </w: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 si subvention)</w:t>
            </w:r>
          </w:p>
          <w:p w14:paraId="5552690C" w14:textId="77777777" w:rsidR="00431D70" w:rsidRPr="001A2CD5" w:rsidRDefault="00431D70" w:rsidP="00431D70">
            <w:pPr>
              <w:pStyle w:val="Paragraphedeliste"/>
              <w:numPr>
                <w:ilvl w:val="0"/>
                <w:numId w:val="2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Réaliser et rédiger l’analyse de l’état des lieux, sur la base des données issues des outils cantonaux et des informations fournies par la Commune</w:t>
            </w:r>
          </w:p>
          <w:p w14:paraId="5594D8AF" w14:textId="213AA682" w:rsidR="00431D70" w:rsidRPr="001A2CD5" w:rsidRDefault="00431D70" w:rsidP="00431D70">
            <w:pPr>
              <w:pStyle w:val="Paragraphedeliste"/>
              <w:numPr>
                <w:ilvl w:val="0"/>
                <w:numId w:val="2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Guider la Municipalité dans la définition d’objectifs </w:t>
            </w:r>
          </w:p>
          <w:p w14:paraId="4A499DEC" w14:textId="277A4B9C" w:rsidR="00431D70" w:rsidRPr="001A2CD5" w:rsidRDefault="00431D70" w:rsidP="00431D70">
            <w:pPr>
              <w:pStyle w:val="Paragraphedeliste"/>
              <w:numPr>
                <w:ilvl w:val="0"/>
                <w:numId w:val="2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Identifier et prioriser, avec la Municipalité ou les personnes en charge du suivi du plan, les actions les plus pertinentes pour la Commune (sur la base du Catalogue de fiches-action proposé par l</w:t>
            </w:r>
            <w:r w:rsidR="00210CF4">
              <w:rPr>
                <w:rFonts w:asciiTheme="minorHAnsi" w:hAnsiTheme="minorHAnsi" w:cstheme="minorHAnsi"/>
                <w:sz w:val="22"/>
                <w:szCs w:val="22"/>
              </w:rPr>
              <w:t>e Canton</w:t>
            </w: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 en cas de subvention)</w:t>
            </w:r>
          </w:p>
          <w:p w14:paraId="053C333D" w14:textId="77777777" w:rsidR="00431D70" w:rsidRPr="001A2CD5" w:rsidRDefault="00431D70" w:rsidP="00431D70">
            <w:pPr>
              <w:pStyle w:val="Paragraphedeliste"/>
              <w:numPr>
                <w:ilvl w:val="0"/>
                <w:numId w:val="2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Proposer un plan d’actions à la Municipalité</w:t>
            </w:r>
          </w:p>
          <w:p w14:paraId="36C6B607" w14:textId="4566FA9E" w:rsidR="00D02BFF" w:rsidRDefault="00431D70" w:rsidP="00D02BFF">
            <w:pPr>
              <w:pStyle w:val="Paragraphedeliste"/>
              <w:numPr>
                <w:ilvl w:val="0"/>
                <w:numId w:val="2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Identifier les ressources à disposition et appuyer administrativement la Commune dans ses demandes </w:t>
            </w:r>
          </w:p>
          <w:p w14:paraId="67552732" w14:textId="1043A02E" w:rsidR="00D02BFF" w:rsidRPr="00D02BFF" w:rsidRDefault="00D02BFF" w:rsidP="00D02BFF">
            <w:pPr>
              <w:pStyle w:val="Paragraphedeliste"/>
              <w:numPr>
                <w:ilvl w:val="0"/>
                <w:numId w:val="2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Elaborer / mettre à jour une planification énergétique</w:t>
            </w:r>
          </w:p>
          <w:p w14:paraId="51330BB2" w14:textId="77777777" w:rsidR="004A34F0" w:rsidRPr="001A2CD5" w:rsidRDefault="004A34F0" w:rsidP="00F4475F">
            <w:pPr>
              <w:pStyle w:val="Paragraphedeliste"/>
              <w:spacing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FD3" w14:paraId="1F177C69" w14:textId="77777777" w:rsidTr="0084627C">
        <w:tc>
          <w:tcPr>
            <w:tcW w:w="2972" w:type="dxa"/>
          </w:tcPr>
          <w:p w14:paraId="28283208" w14:textId="77777777" w:rsidR="00ED3FD3" w:rsidRDefault="00ED3FD3" w:rsidP="00ED3FD3">
            <w:pPr>
              <w:rPr>
                <w:b/>
                <w:bCs/>
              </w:rPr>
            </w:pPr>
            <w:r>
              <w:rPr>
                <w:b/>
                <w:bCs/>
              </w:rPr>
              <w:t>Coordonner – mettre en réseau</w:t>
            </w:r>
          </w:p>
          <w:p w14:paraId="29141448" w14:textId="77777777" w:rsidR="00ED3FD3" w:rsidRDefault="00ED3FD3" w:rsidP="00ED3FD3">
            <w:pPr>
              <w:rPr>
                <w:b/>
                <w:bCs/>
              </w:rPr>
            </w:pPr>
          </w:p>
          <w:p w14:paraId="025ACA8D" w14:textId="77777777" w:rsidR="00ED3FD3" w:rsidRDefault="00ED3FD3" w:rsidP="00ED3FD3">
            <w:pPr>
              <w:rPr>
                <w:b/>
                <w:bCs/>
              </w:rPr>
            </w:pPr>
          </w:p>
          <w:p w14:paraId="70194622" w14:textId="77777777" w:rsidR="00ED3FD3" w:rsidRDefault="00ED3FD3" w:rsidP="00ED3FD3">
            <w:pPr>
              <w:rPr>
                <w:b/>
                <w:bCs/>
              </w:rPr>
            </w:pPr>
          </w:p>
          <w:p w14:paraId="14A46810" w14:textId="77777777" w:rsidR="00ED3FD3" w:rsidRDefault="00ED3FD3" w:rsidP="00ED3FD3">
            <w:pPr>
              <w:rPr>
                <w:b/>
                <w:bCs/>
              </w:rPr>
            </w:pPr>
          </w:p>
          <w:p w14:paraId="0238F2FA" w14:textId="77777777" w:rsidR="00ED3FD3" w:rsidRDefault="00ED3FD3" w:rsidP="00ED3FD3">
            <w:pPr>
              <w:rPr>
                <w:b/>
                <w:bCs/>
              </w:rPr>
            </w:pPr>
          </w:p>
          <w:p w14:paraId="5DCE0708" w14:textId="77777777" w:rsidR="00ED3FD3" w:rsidRDefault="00ED3FD3" w:rsidP="00ED3FD3">
            <w:pPr>
              <w:rPr>
                <w:b/>
                <w:bCs/>
              </w:rPr>
            </w:pPr>
          </w:p>
          <w:p w14:paraId="43F0B02D" w14:textId="77777777" w:rsidR="00ED3FD3" w:rsidRDefault="00ED3FD3" w:rsidP="00ED3FD3">
            <w:pPr>
              <w:rPr>
                <w:b/>
                <w:bCs/>
              </w:rPr>
            </w:pPr>
          </w:p>
          <w:p w14:paraId="4C8A5533" w14:textId="48D08AE7" w:rsidR="00ED3FD3" w:rsidRDefault="00ED3FD3" w:rsidP="00ED3FD3">
            <w:pPr>
              <w:rPr>
                <w:b/>
                <w:bCs/>
              </w:rPr>
            </w:pPr>
            <w:r w:rsidRPr="00B3130B">
              <w:rPr>
                <w:i/>
                <w:iCs/>
              </w:rPr>
              <w:t>Fiche</w:t>
            </w:r>
            <w:r>
              <w:rPr>
                <w:i/>
                <w:iCs/>
              </w:rPr>
              <w:t xml:space="preserve"> </w:t>
            </w:r>
            <w:r w:rsidRPr="00B3130B">
              <w:rPr>
                <w:i/>
                <w:iCs/>
              </w:rPr>
              <w:t>PECC</w:t>
            </w:r>
            <w:r>
              <w:rPr>
                <w:i/>
                <w:iCs/>
              </w:rPr>
              <w:t xml:space="preserve"> – toutes </w:t>
            </w:r>
          </w:p>
        </w:tc>
        <w:tc>
          <w:tcPr>
            <w:tcW w:w="6379" w:type="dxa"/>
          </w:tcPr>
          <w:p w14:paraId="4B58AC11" w14:textId="66F4A678" w:rsidR="00EB406E" w:rsidRPr="001A2CD5" w:rsidRDefault="00EB406E" w:rsidP="00EB406E">
            <w:pPr>
              <w:pStyle w:val="Paragraphedeliste"/>
              <w:numPr>
                <w:ilvl w:val="0"/>
                <w:numId w:val="20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Faciliter la mise en œuvre des actions définies dans le PECC : </w:t>
            </w:r>
          </w:p>
          <w:p w14:paraId="187988DE" w14:textId="34DE89F8" w:rsidR="00ED3FD3" w:rsidRPr="001A2CD5" w:rsidRDefault="00EB406E" w:rsidP="00EB406E">
            <w:pPr>
              <w:pStyle w:val="Paragraphedeliste"/>
              <w:numPr>
                <w:ilvl w:val="1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Définir</w:t>
            </w:r>
            <w:r w:rsidR="00ED3FD3"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 de nouveaux processus internes</w:t>
            </w:r>
          </w:p>
          <w:p w14:paraId="09847B2D" w14:textId="3B87CB88" w:rsidR="00ED3FD3" w:rsidRPr="001A2CD5" w:rsidRDefault="00EB406E" w:rsidP="00EB406E">
            <w:pPr>
              <w:pStyle w:val="Paragraphedeliste"/>
              <w:numPr>
                <w:ilvl w:val="1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Proposer</w:t>
            </w:r>
            <w:r w:rsidR="00ED3FD3"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 des adaptations aux règlements communaux</w:t>
            </w:r>
            <w:r w:rsidR="00A4377B">
              <w:rPr>
                <w:rFonts w:asciiTheme="minorHAnsi" w:hAnsiTheme="minorHAnsi" w:cstheme="minorHAnsi"/>
                <w:sz w:val="22"/>
                <w:szCs w:val="22"/>
              </w:rPr>
              <w:t xml:space="preserve"> et outils d’aménagement du territoire</w:t>
            </w:r>
          </w:p>
          <w:p w14:paraId="3A762E9C" w14:textId="10E29AF6" w:rsidR="00ED3FD3" w:rsidRPr="001A2CD5" w:rsidRDefault="00EB406E" w:rsidP="00EB406E">
            <w:pPr>
              <w:pStyle w:val="Paragraphedeliste"/>
              <w:numPr>
                <w:ilvl w:val="1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Suivre</w:t>
            </w:r>
            <w:r w:rsidR="00ED3FD3"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 les mandats de spécialistes (énergie, biodiversité, évt mobilité, </w:t>
            </w:r>
            <w:r w:rsidR="00210CF4" w:rsidRPr="001A2CD5">
              <w:rPr>
                <w:rFonts w:asciiTheme="minorHAnsi" w:hAnsiTheme="minorHAnsi" w:cstheme="minorHAnsi"/>
                <w:sz w:val="22"/>
                <w:szCs w:val="22"/>
              </w:rPr>
              <w:t>domaines transversaux</w:t>
            </w:r>
            <w:r w:rsidR="00ED3FD3" w:rsidRPr="001A2CD5">
              <w:rPr>
                <w:rFonts w:asciiTheme="minorHAnsi" w:hAnsiTheme="minorHAnsi" w:cstheme="minorHAnsi"/>
                <w:sz w:val="22"/>
                <w:szCs w:val="22"/>
              </w:rPr>
              <w:t>, etc.)</w:t>
            </w:r>
          </w:p>
          <w:p w14:paraId="62E6F887" w14:textId="77777777" w:rsidR="00ED3FD3" w:rsidRPr="001A2CD5" w:rsidRDefault="00ED3FD3" w:rsidP="00EB406E">
            <w:pPr>
              <w:pStyle w:val="Paragraphedeliste"/>
              <w:numPr>
                <w:ilvl w:val="1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Coordonner un réseau d’experts* (experts qui réalisent des audits énergétiques, contrôles des bâtiments thermiques, font l’inventaire du patrimoine arboré, etc.).  </w:t>
            </w:r>
          </w:p>
          <w:p w14:paraId="51D9356C" w14:textId="77777777" w:rsidR="00ED3FD3" w:rsidRPr="001A2CD5" w:rsidRDefault="00ED3FD3" w:rsidP="00EB406E">
            <w:pPr>
              <w:pStyle w:val="Paragraphedeliste"/>
              <w:numPr>
                <w:ilvl w:val="1"/>
                <w:numId w:val="20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Coordonner les actions communales avec celles des communes de la région.</w:t>
            </w:r>
          </w:p>
          <w:p w14:paraId="14E35D09" w14:textId="22022390" w:rsidR="00ED3FD3" w:rsidRPr="001A2CD5" w:rsidRDefault="00EB406E" w:rsidP="00EB406E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Participer au suivi de</w:t>
            </w:r>
            <w:r w:rsidR="00ED3FD3"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 la mise en œuvre </w:t>
            </w: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D3FD3" w:rsidRPr="001A2CD5">
              <w:rPr>
                <w:rFonts w:asciiTheme="minorHAnsi" w:hAnsiTheme="minorHAnsi" w:cstheme="minorHAnsi"/>
                <w:sz w:val="22"/>
                <w:szCs w:val="22"/>
              </w:rPr>
              <w:t>indicateurs-clé</w:t>
            </w: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, tableau de suivi, évaluation, ajustements, etc.)</w:t>
            </w:r>
          </w:p>
          <w:p w14:paraId="5FC732FB" w14:textId="77777777" w:rsidR="00EB406E" w:rsidRPr="001A2CD5" w:rsidRDefault="00ED3FD3" w:rsidP="00ED3FD3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Participer à la commission durabilité-énergie-climat</w:t>
            </w:r>
          </w:p>
          <w:p w14:paraId="4F59D90E" w14:textId="21ECE133" w:rsidR="00ED3FD3" w:rsidRDefault="00EB406E" w:rsidP="00EB406E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CD5">
              <w:rPr>
                <w:rFonts w:asciiTheme="minorHAnsi" w:hAnsiTheme="minorHAnsi" w:cstheme="minorHAnsi"/>
                <w:sz w:val="22"/>
                <w:szCs w:val="22"/>
              </w:rPr>
              <w:t>Collaborer au</w:t>
            </w:r>
            <w:r w:rsidR="00ED3FD3" w:rsidRPr="001A2CD5">
              <w:rPr>
                <w:rFonts w:asciiTheme="minorHAnsi" w:hAnsiTheme="minorHAnsi" w:cstheme="minorHAnsi"/>
                <w:sz w:val="22"/>
                <w:szCs w:val="22"/>
              </w:rPr>
              <w:t xml:space="preserve"> déploiement des actions de communications</w:t>
            </w:r>
          </w:p>
          <w:p w14:paraId="73D97696" w14:textId="5B8BBB5F" w:rsidR="00E23031" w:rsidRDefault="00E23031" w:rsidP="00EB406E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S’assurer que les projets de la commune soient examinés sous l’angle durabilité-énergie-climat (commission ou autre processus)</w:t>
            </w:r>
          </w:p>
          <w:p w14:paraId="4CA4DBA3" w14:textId="138E941F" w:rsidR="00A938D9" w:rsidRPr="001A2CD5" w:rsidRDefault="00A938D9" w:rsidP="00EB406E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Soutenir la Municipalité en tant qu’expert pour rédiger des préavis, répondre aux motions/postulats en lien avec la durabilité-énergie-climat</w:t>
            </w:r>
          </w:p>
          <w:p w14:paraId="71F3552C" w14:textId="6DF52318" w:rsidR="00EB406E" w:rsidRPr="001A2CD5" w:rsidRDefault="00EB406E" w:rsidP="00EB406E">
            <w:pPr>
              <w:pStyle w:val="Paragraphedeliste"/>
              <w:spacing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FD3" w14:paraId="053412BF" w14:textId="77777777" w:rsidTr="0084627C">
        <w:trPr>
          <w:trHeight w:val="1113"/>
        </w:trPr>
        <w:tc>
          <w:tcPr>
            <w:tcW w:w="2972" w:type="dxa"/>
          </w:tcPr>
          <w:p w14:paraId="7D1C45D0" w14:textId="77777777" w:rsidR="00ED3FD3" w:rsidRDefault="00ED3FD3" w:rsidP="00ED3FD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Gérer le fonds énergie, climat ou/et durabilité</w:t>
            </w:r>
          </w:p>
          <w:p w14:paraId="40AF472E" w14:textId="77777777" w:rsidR="00ED3FD3" w:rsidRDefault="00ED3FD3" w:rsidP="00ED3FD3">
            <w:pPr>
              <w:rPr>
                <w:b/>
                <w:bCs/>
              </w:rPr>
            </w:pPr>
          </w:p>
          <w:p w14:paraId="1F4A8B0D" w14:textId="69D327BD" w:rsidR="00ED3FD3" w:rsidRPr="00B3130B" w:rsidRDefault="00ED3FD3" w:rsidP="00ED3FD3">
            <w:pPr>
              <w:rPr>
                <w:i/>
                <w:iCs/>
              </w:rPr>
            </w:pPr>
            <w:r w:rsidRPr="00B3130B">
              <w:rPr>
                <w:i/>
                <w:iCs/>
              </w:rPr>
              <w:t>Fiche</w:t>
            </w:r>
            <w:r>
              <w:rPr>
                <w:i/>
                <w:iCs/>
              </w:rPr>
              <w:t xml:space="preserve"> </w:t>
            </w:r>
            <w:r w:rsidRPr="00B3130B">
              <w:rPr>
                <w:i/>
                <w:iCs/>
              </w:rPr>
              <w:t>PECC</w:t>
            </w:r>
            <w:r>
              <w:rPr>
                <w:i/>
                <w:iCs/>
              </w:rPr>
              <w:t xml:space="preserve"> no2</w:t>
            </w:r>
          </w:p>
        </w:tc>
        <w:tc>
          <w:tcPr>
            <w:tcW w:w="6379" w:type="dxa"/>
          </w:tcPr>
          <w:p w14:paraId="2F357AE1" w14:textId="77777777" w:rsidR="00ED3FD3" w:rsidRDefault="00ED3FD3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Soutenir la Municipalité dans l’élaboration d’un règlement</w:t>
            </w:r>
          </w:p>
          <w:p w14:paraId="09C53550" w14:textId="5DEB840B" w:rsidR="00ED3FD3" w:rsidRPr="00455484" w:rsidRDefault="00ED3FD3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5484">
              <w:rPr>
                <w:rFonts w:asciiTheme="minorHAnsi" w:hAnsiTheme="minorHAnsi" w:cstheme="minorHAnsi"/>
                <w:sz w:val="22"/>
                <w:szCs w:val="22"/>
              </w:rPr>
              <w:t>Gérer les subventions</w:t>
            </w:r>
          </w:p>
          <w:p w14:paraId="6D9AEB64" w14:textId="77777777" w:rsidR="00ED3FD3" w:rsidRPr="00455484" w:rsidRDefault="00ED3FD3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5484">
              <w:rPr>
                <w:rFonts w:asciiTheme="minorHAnsi" w:hAnsiTheme="minorHAnsi" w:cstheme="minorHAnsi"/>
                <w:sz w:val="22"/>
                <w:szCs w:val="22"/>
              </w:rPr>
              <w:t>Proposer les affectations possibles</w:t>
            </w:r>
          </w:p>
          <w:p w14:paraId="5E372931" w14:textId="77777777" w:rsidR="00ED3FD3" w:rsidRPr="00455484" w:rsidRDefault="00ED3FD3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</w:p>
        </w:tc>
      </w:tr>
      <w:tr w:rsidR="00ED3FD3" w14:paraId="0A3AC414" w14:textId="77777777" w:rsidTr="00A4377B">
        <w:trPr>
          <w:trHeight w:val="2752"/>
        </w:trPr>
        <w:tc>
          <w:tcPr>
            <w:tcW w:w="2972" w:type="dxa"/>
          </w:tcPr>
          <w:p w14:paraId="39BFE9FA" w14:textId="77777777" w:rsidR="00ED3FD3" w:rsidRDefault="00ED3FD3" w:rsidP="00ED3FD3">
            <w:pPr>
              <w:rPr>
                <w:b/>
                <w:bCs/>
              </w:rPr>
            </w:pPr>
            <w:r>
              <w:rPr>
                <w:b/>
                <w:bCs/>
              </w:rPr>
              <w:t>Informer – sensibiliser – accompagner la population</w:t>
            </w:r>
          </w:p>
          <w:p w14:paraId="127FE554" w14:textId="77777777" w:rsidR="00ED3FD3" w:rsidRDefault="00ED3FD3" w:rsidP="00ED3FD3">
            <w:pPr>
              <w:rPr>
                <w:b/>
                <w:bCs/>
              </w:rPr>
            </w:pPr>
          </w:p>
          <w:p w14:paraId="4F8D8242" w14:textId="77777777" w:rsidR="00ED3FD3" w:rsidRDefault="00ED3FD3" w:rsidP="00ED3FD3">
            <w:pPr>
              <w:rPr>
                <w:b/>
                <w:bCs/>
              </w:rPr>
            </w:pPr>
          </w:p>
          <w:p w14:paraId="02CB0768" w14:textId="77777777" w:rsidR="00ED3FD3" w:rsidRDefault="00ED3FD3" w:rsidP="00ED3FD3">
            <w:pPr>
              <w:rPr>
                <w:b/>
                <w:bCs/>
              </w:rPr>
            </w:pPr>
          </w:p>
          <w:p w14:paraId="490D78F4" w14:textId="02FC8B0E" w:rsidR="00ED3FD3" w:rsidRDefault="00ED3FD3" w:rsidP="00ED3FD3">
            <w:pPr>
              <w:rPr>
                <w:i/>
                <w:iCs/>
              </w:rPr>
            </w:pPr>
            <w:r w:rsidRPr="00B3130B">
              <w:rPr>
                <w:i/>
                <w:iCs/>
              </w:rPr>
              <w:t>Fiche</w:t>
            </w:r>
            <w:r>
              <w:rPr>
                <w:i/>
                <w:iCs/>
              </w:rPr>
              <w:t xml:space="preserve"> </w:t>
            </w:r>
            <w:r w:rsidRPr="00B3130B">
              <w:rPr>
                <w:i/>
                <w:iCs/>
              </w:rPr>
              <w:t>PECC</w:t>
            </w:r>
            <w:r>
              <w:rPr>
                <w:i/>
                <w:iCs/>
              </w:rPr>
              <w:t xml:space="preserve"> no 4, 6, 9, 10, 14, 15, 17, 18, </w:t>
            </w:r>
            <w:r w:rsidR="00A4377B">
              <w:rPr>
                <w:i/>
                <w:iCs/>
              </w:rPr>
              <w:t xml:space="preserve">20, </w:t>
            </w:r>
            <w:r>
              <w:rPr>
                <w:i/>
                <w:iCs/>
              </w:rPr>
              <w:t>21</w:t>
            </w:r>
            <w:r w:rsidRPr="00B3130B">
              <w:rPr>
                <w:i/>
                <w:iCs/>
              </w:rPr>
              <w:t xml:space="preserve"> </w:t>
            </w:r>
          </w:p>
          <w:p w14:paraId="41E7C3B3" w14:textId="536AF388" w:rsidR="00ED3FD3" w:rsidRPr="00B3130B" w:rsidRDefault="00ED3FD3" w:rsidP="00ED3FD3">
            <w:pPr>
              <w:rPr>
                <w:i/>
                <w:iCs/>
              </w:rPr>
            </w:pPr>
          </w:p>
        </w:tc>
        <w:tc>
          <w:tcPr>
            <w:tcW w:w="6379" w:type="dxa"/>
          </w:tcPr>
          <w:p w14:paraId="734B763B" w14:textId="77777777" w:rsidR="00ED3FD3" w:rsidRPr="00455484" w:rsidRDefault="00ED3FD3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5484">
              <w:rPr>
                <w:rFonts w:asciiTheme="minorHAnsi" w:hAnsiTheme="minorHAnsi" w:cstheme="minorHAnsi"/>
                <w:sz w:val="22"/>
                <w:szCs w:val="22"/>
              </w:rPr>
              <w:t>Être un point de contact pour la population</w:t>
            </w:r>
          </w:p>
          <w:p w14:paraId="31039BDD" w14:textId="77777777" w:rsidR="00ED3FD3" w:rsidRPr="00455484" w:rsidRDefault="00ED3FD3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5484">
              <w:rPr>
                <w:rFonts w:asciiTheme="minorHAnsi" w:hAnsiTheme="minorHAnsi" w:cstheme="minorHAnsi"/>
                <w:sz w:val="22"/>
                <w:szCs w:val="22"/>
              </w:rPr>
              <w:t>Fournir un 1</w:t>
            </w:r>
            <w:r w:rsidRPr="0045548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455484">
              <w:rPr>
                <w:rFonts w:asciiTheme="minorHAnsi" w:hAnsiTheme="minorHAnsi" w:cstheme="minorHAnsi"/>
                <w:sz w:val="22"/>
                <w:szCs w:val="22"/>
              </w:rPr>
              <w:t xml:space="preserve"> niveau d’information pour toutes les questions en lien avec l’énergie (information financement, subvention, etc.) et orienter vers les experts si nécessaire</w:t>
            </w:r>
          </w:p>
          <w:p w14:paraId="727F2C72" w14:textId="0E95976E" w:rsidR="00ED3FD3" w:rsidRPr="00331320" w:rsidRDefault="00ED3FD3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320">
              <w:rPr>
                <w:rFonts w:asciiTheme="minorHAnsi" w:hAnsiTheme="minorHAnsi" w:cstheme="minorHAnsi"/>
                <w:sz w:val="22"/>
                <w:szCs w:val="22"/>
              </w:rPr>
              <w:t xml:space="preserve">Organiser les actions </w:t>
            </w:r>
            <w:r w:rsidR="00A4377B" w:rsidRPr="00331320">
              <w:rPr>
                <w:rFonts w:asciiTheme="minorHAnsi" w:hAnsiTheme="minorHAnsi" w:cstheme="minorHAnsi"/>
                <w:sz w:val="22"/>
                <w:szCs w:val="22"/>
              </w:rPr>
              <w:t>pour mobiliser la population</w:t>
            </w:r>
            <w:r w:rsidRPr="0033132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A2CD5" w:rsidRPr="00331320">
              <w:rPr>
                <w:rFonts w:asciiTheme="minorHAnsi" w:hAnsiTheme="minorHAnsi" w:cstheme="minorHAnsi"/>
                <w:sz w:val="22"/>
                <w:szCs w:val="22"/>
              </w:rPr>
              <w:t xml:space="preserve">action biodiversité, </w:t>
            </w:r>
            <w:r w:rsidRPr="00331320">
              <w:rPr>
                <w:rFonts w:asciiTheme="minorHAnsi" w:hAnsiTheme="minorHAnsi" w:cstheme="minorHAnsi"/>
                <w:sz w:val="22"/>
                <w:szCs w:val="22"/>
              </w:rPr>
              <w:t xml:space="preserve">appel d’offre groupé, information dans les ménages, </w:t>
            </w:r>
            <w:r w:rsidR="00BD4FE4" w:rsidRPr="00331320">
              <w:rPr>
                <w:rFonts w:asciiTheme="minorHAnsi" w:hAnsiTheme="minorHAnsi" w:cstheme="minorHAnsi"/>
                <w:sz w:val="22"/>
                <w:szCs w:val="22"/>
              </w:rPr>
              <w:t xml:space="preserve">action éco-logement, </w:t>
            </w:r>
            <w:r w:rsidRPr="00331320">
              <w:rPr>
                <w:rFonts w:asciiTheme="minorHAnsi" w:hAnsiTheme="minorHAnsi" w:cstheme="minorHAnsi"/>
                <w:sz w:val="22"/>
                <w:szCs w:val="22"/>
              </w:rPr>
              <w:t>etc.)</w:t>
            </w:r>
          </w:p>
          <w:p w14:paraId="13D91657" w14:textId="5BD075E6" w:rsidR="00ED3FD3" w:rsidRPr="00455484" w:rsidRDefault="00E23031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320">
              <w:rPr>
                <w:rFonts w:asciiTheme="minorHAnsi" w:hAnsiTheme="minorHAnsi" w:cstheme="minorHAnsi"/>
                <w:sz w:val="22"/>
                <w:szCs w:val="22"/>
              </w:rPr>
              <w:t>Communiquer auprès des propriétaires 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 entreprises sur la stratégie énergétique communale (planification </w:t>
            </w:r>
            <w:r w:rsidR="00B9398A">
              <w:rPr>
                <w:rFonts w:asciiTheme="minorHAnsi" w:hAnsiTheme="minorHAnsi" w:cstheme="minorHAnsi"/>
                <w:sz w:val="22"/>
                <w:szCs w:val="22"/>
              </w:rPr>
              <w:t>énergétique)</w:t>
            </w:r>
            <w:r w:rsidR="00B9398A" w:rsidRPr="00455484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</w:tc>
      </w:tr>
      <w:tr w:rsidR="00ED3FD3" w14:paraId="1A44FE04" w14:textId="77777777" w:rsidTr="0084627C">
        <w:tc>
          <w:tcPr>
            <w:tcW w:w="2972" w:type="dxa"/>
          </w:tcPr>
          <w:p w14:paraId="6F508554" w14:textId="073439E9" w:rsidR="00ED3FD3" w:rsidRDefault="001A2CD5" w:rsidP="00ED3FD3">
            <w:pPr>
              <w:rPr>
                <w:b/>
                <w:bCs/>
              </w:rPr>
            </w:pPr>
            <w:r>
              <w:rPr>
                <w:b/>
                <w:bCs/>
              </w:rPr>
              <w:t>Mettre en œuvre les mesures liées à l’énergie</w:t>
            </w:r>
          </w:p>
          <w:p w14:paraId="52E4F261" w14:textId="77777777" w:rsidR="00ED3FD3" w:rsidRDefault="00ED3FD3" w:rsidP="00ED3FD3">
            <w:pPr>
              <w:rPr>
                <w:b/>
                <w:bCs/>
              </w:rPr>
            </w:pPr>
          </w:p>
          <w:p w14:paraId="32A1A197" w14:textId="77777777" w:rsidR="00ED3FD3" w:rsidRDefault="00ED3FD3" w:rsidP="00ED3FD3">
            <w:pPr>
              <w:rPr>
                <w:b/>
                <w:bCs/>
              </w:rPr>
            </w:pPr>
          </w:p>
          <w:p w14:paraId="3E8A4895" w14:textId="3D8D2B6A" w:rsidR="00ED3FD3" w:rsidRDefault="00ED3FD3" w:rsidP="00ED3FD3">
            <w:pPr>
              <w:rPr>
                <w:b/>
                <w:bCs/>
              </w:rPr>
            </w:pPr>
            <w:r w:rsidRPr="00013707">
              <w:rPr>
                <w:i/>
                <w:iCs/>
              </w:rPr>
              <w:t>Fiche PECC no 10</w:t>
            </w:r>
            <w:r w:rsidR="00071CF6">
              <w:rPr>
                <w:i/>
                <w:iCs/>
              </w:rPr>
              <w:t>, 11, 12, 14, 15</w:t>
            </w:r>
          </w:p>
        </w:tc>
        <w:tc>
          <w:tcPr>
            <w:tcW w:w="6379" w:type="dxa"/>
          </w:tcPr>
          <w:p w14:paraId="01DD517F" w14:textId="77777777" w:rsidR="00071CF6" w:rsidRDefault="00071CF6" w:rsidP="00071CF6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S’assurer de la m</w:t>
            </w:r>
            <w:r w:rsidRPr="005127FF">
              <w:rPr>
                <w:rFonts w:asciiTheme="minorHAnsi" w:hAnsiTheme="minorHAnsi" w:cstheme="minorHAnsi"/>
                <w:sz w:val="22"/>
                <w:szCs w:val="22"/>
              </w:rPr>
              <w:t xml:space="preserve">ise en œuvre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la </w:t>
            </w:r>
            <w:r w:rsidRPr="005127FF">
              <w:rPr>
                <w:rFonts w:asciiTheme="minorHAnsi" w:hAnsiTheme="minorHAnsi" w:cstheme="minorHAnsi"/>
                <w:sz w:val="22"/>
                <w:szCs w:val="22"/>
              </w:rPr>
              <w:t>planification énergétique </w:t>
            </w:r>
          </w:p>
          <w:p w14:paraId="228C2D09" w14:textId="11FF8B19" w:rsidR="00071CF6" w:rsidRDefault="00071CF6" w:rsidP="00071CF6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27FF">
              <w:rPr>
                <w:rFonts w:asciiTheme="minorHAnsi" w:hAnsiTheme="minorHAnsi" w:cstheme="minorHAnsi"/>
                <w:sz w:val="22"/>
                <w:szCs w:val="22"/>
              </w:rPr>
              <w:t xml:space="preserve">S’assurer du suivi du processus de Labellisation Cité de </w:t>
            </w:r>
            <w:r w:rsidR="00B9398A" w:rsidRPr="005127FF">
              <w:rPr>
                <w:rFonts w:asciiTheme="minorHAnsi" w:hAnsiTheme="minorHAnsi" w:cstheme="minorHAnsi"/>
                <w:sz w:val="22"/>
                <w:szCs w:val="22"/>
              </w:rPr>
              <w:t>l’énergie :</w:t>
            </w:r>
            <w:r w:rsidRPr="005127FF">
              <w:rPr>
                <w:rFonts w:asciiTheme="minorHAnsi" w:hAnsiTheme="minorHAnsi" w:cstheme="minorHAnsi"/>
                <w:sz w:val="22"/>
                <w:szCs w:val="22"/>
              </w:rPr>
              <w:t xml:space="preserve"> préparer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les audits avec le conseiller Cité de l’énergie, s’assurer du suivi du plan d’action Cité de l’énergie</w:t>
            </w:r>
          </w:p>
          <w:p w14:paraId="76A87913" w14:textId="77777777" w:rsidR="00071CF6" w:rsidRDefault="00071CF6" w:rsidP="00071CF6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Etre en charge du suivi énergétique des bâtiments communaux : élaborer un état des lieux, proposer des optimisations, planifier les rénovations et les installations solaires, viser des performances énergétiques élevées lors de rénovation ou de nouvelles constructions</w:t>
            </w:r>
          </w:p>
          <w:p w14:paraId="3839D7B2" w14:textId="77777777" w:rsidR="00071CF6" w:rsidRDefault="00071CF6" w:rsidP="00071CF6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127FF">
              <w:rPr>
                <w:rFonts w:asciiTheme="minorHAnsi" w:hAnsiTheme="minorHAnsi" w:cstheme="minorHAnsi"/>
                <w:sz w:val="22"/>
                <w:szCs w:val="22"/>
              </w:rPr>
              <w:t>nitier ou accompagner les projets de chauffage à distance</w:t>
            </w:r>
          </w:p>
          <w:p w14:paraId="1E14A301" w14:textId="77777777" w:rsidR="00071CF6" w:rsidRDefault="00071CF6" w:rsidP="00071CF6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Etre en charge de l’optimisation de l’éclairage public (consommation, pollution lumineuse)</w:t>
            </w:r>
          </w:p>
          <w:p w14:paraId="34D10867" w14:textId="77777777" w:rsidR="006B407D" w:rsidRDefault="006B407D" w:rsidP="006B407D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377B">
              <w:rPr>
                <w:rFonts w:asciiTheme="minorHAnsi" w:hAnsiTheme="minorHAnsi" w:cstheme="minorHAnsi"/>
                <w:sz w:val="22"/>
                <w:szCs w:val="22"/>
              </w:rPr>
              <w:t xml:space="preserve">Police des constructions : </w:t>
            </w:r>
          </w:p>
          <w:p w14:paraId="523C17C8" w14:textId="77777777" w:rsidR="006B407D" w:rsidRPr="006B407D" w:rsidRDefault="006B407D" w:rsidP="006B407D">
            <w:pPr>
              <w:ind w:left="360"/>
              <w:rPr>
                <w:rFonts w:cstheme="minorHAnsi"/>
              </w:rPr>
            </w:pPr>
            <w:r w:rsidRPr="006B407D">
              <w:rPr>
                <w:rFonts w:cstheme="minorHAnsi"/>
              </w:rPr>
              <w:t>1) mettre en place la procédure de contrôle de la conformité des projets de construction en phase de permis de construire</w:t>
            </w:r>
            <w:r>
              <w:rPr>
                <w:rFonts w:cstheme="minorHAnsi"/>
              </w:rPr>
              <w:t xml:space="preserve">, selon la </w:t>
            </w:r>
            <w:r w:rsidRPr="006B407D">
              <w:rPr>
                <w:rFonts w:cstheme="minorHAnsi"/>
              </w:rPr>
              <w:t>loi sur l’énergie</w:t>
            </w:r>
            <w:r>
              <w:rPr>
                <w:rFonts w:cstheme="minorHAnsi"/>
              </w:rPr>
              <w:t xml:space="preserve"> ; </w:t>
            </w:r>
          </w:p>
          <w:p w14:paraId="66692E9E" w14:textId="77777777" w:rsidR="006B407D" w:rsidRPr="006B407D" w:rsidRDefault="006B407D" w:rsidP="006B407D">
            <w:pPr>
              <w:ind w:left="360"/>
              <w:rPr>
                <w:rFonts w:cstheme="minorHAnsi"/>
              </w:rPr>
            </w:pPr>
            <w:r w:rsidRPr="006B407D">
              <w:rPr>
                <w:rFonts w:cstheme="minorHAnsi"/>
              </w:rPr>
              <w:t>2) contrôler les dossiers énergie des permis de construire</w:t>
            </w:r>
            <w:r>
              <w:rPr>
                <w:rFonts w:cstheme="minorHAnsi"/>
              </w:rPr>
              <w:t xml:space="preserve"> </w:t>
            </w:r>
            <w:r w:rsidRPr="006B407D">
              <w:rPr>
                <w:rFonts w:cstheme="minorHAnsi"/>
              </w:rPr>
              <w:t>pour les aspects relevant de la compétence de la commune </w:t>
            </w:r>
            <w:r>
              <w:rPr>
                <w:rFonts w:cstheme="minorHAnsi"/>
              </w:rPr>
              <w:t>ou assurer la coordination avec les mandataires en charge du</w:t>
            </w:r>
            <w:r w:rsidRPr="006B407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contrôle ; </w:t>
            </w:r>
          </w:p>
          <w:p w14:paraId="6C2E50DE" w14:textId="77777777" w:rsidR="006B407D" w:rsidRPr="006B407D" w:rsidRDefault="006B407D" w:rsidP="006B407D">
            <w:pPr>
              <w:ind w:left="360"/>
              <w:rPr>
                <w:rFonts w:cstheme="minorHAnsi"/>
              </w:rPr>
            </w:pPr>
            <w:r w:rsidRPr="006B407D">
              <w:rPr>
                <w:rFonts w:cstheme="minorHAnsi"/>
              </w:rPr>
              <w:t>3) Mettre en place les processus et procédures de contrôle de conformité énergétique des constructions durant la phase réalisation (post-permis de construire)</w:t>
            </w:r>
          </w:p>
          <w:p w14:paraId="66AA782B" w14:textId="26EC0A20" w:rsidR="006B407D" w:rsidRDefault="006B407D" w:rsidP="006B407D">
            <w:pPr>
              <w:ind w:left="360"/>
              <w:rPr>
                <w:rFonts w:cstheme="minorHAnsi"/>
              </w:rPr>
            </w:pPr>
            <w:r w:rsidRPr="006B407D">
              <w:rPr>
                <w:rFonts w:cstheme="minorHAnsi"/>
              </w:rPr>
              <w:t xml:space="preserve">4) Effectuer les contrôles et, cas échéant, assumer les tâches de demande de mise en conformité des constructions non conformes </w:t>
            </w:r>
          </w:p>
          <w:p w14:paraId="1496B29A" w14:textId="77777777" w:rsidR="003F3830" w:rsidRDefault="00071CF6" w:rsidP="00071CF6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Proposer des projets concrets pour le territoire (privés et entreprises) : appel d’offre groupé pour le solaire, centrale solaire participative, projet de sobriété ou d’efficience énergétique, bornes de recharge publiques pour les véhicules électriques, etc.</w:t>
            </w:r>
          </w:p>
          <w:p w14:paraId="5A0F5BE3" w14:textId="18BE20F4" w:rsidR="00071CF6" w:rsidRPr="00EC710E" w:rsidRDefault="00071CF6" w:rsidP="00071CF6">
            <w:pPr>
              <w:pStyle w:val="Paragraphedeliste"/>
              <w:spacing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FD3" w14:paraId="7BE0EB2F" w14:textId="77777777" w:rsidTr="00EC710E">
        <w:tc>
          <w:tcPr>
            <w:tcW w:w="2972" w:type="dxa"/>
          </w:tcPr>
          <w:p w14:paraId="5586DA2A" w14:textId="77777777" w:rsidR="00ED3FD3" w:rsidRDefault="00ED3FD3" w:rsidP="00ED3FD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Mettre en œuvre les mesures liées à la mobilité</w:t>
            </w:r>
          </w:p>
          <w:p w14:paraId="281360B1" w14:textId="77777777" w:rsidR="00ED3FD3" w:rsidRDefault="00ED3FD3" w:rsidP="00ED3FD3">
            <w:pPr>
              <w:rPr>
                <w:b/>
                <w:bCs/>
              </w:rPr>
            </w:pPr>
          </w:p>
          <w:p w14:paraId="51F86771" w14:textId="74A6786D" w:rsidR="00ED3FD3" w:rsidRDefault="00ED3FD3" w:rsidP="00ED3FD3">
            <w:pPr>
              <w:rPr>
                <w:b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14:paraId="26F8DF49" w14:textId="77777777" w:rsidR="00ED3FD3" w:rsidRDefault="00EC710E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710E">
              <w:rPr>
                <w:rFonts w:asciiTheme="minorHAnsi" w:hAnsiTheme="minorHAnsi" w:cstheme="minorHAnsi"/>
                <w:sz w:val="22"/>
                <w:szCs w:val="22"/>
              </w:rPr>
              <w:t>Suivi et coordination des projets en lien avec la mobilité</w:t>
            </w:r>
          </w:p>
          <w:p w14:paraId="6D5AFAFE" w14:textId="77777777" w:rsidR="00EC710E" w:rsidRDefault="00EC710E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320">
              <w:rPr>
                <w:rFonts w:asciiTheme="minorHAnsi" w:hAnsiTheme="minorHAnsi" w:cstheme="minorHAnsi"/>
                <w:sz w:val="22"/>
                <w:szCs w:val="22"/>
              </w:rPr>
              <w:t xml:space="preserve">Réalisation de mandats de mobilité </w:t>
            </w:r>
          </w:p>
          <w:p w14:paraId="41A541FA" w14:textId="1DEF234B" w:rsidR="001101A4" w:rsidRPr="00EC710E" w:rsidRDefault="001101A4" w:rsidP="00ED3FD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EB406E" w14:paraId="036F66CE" w14:textId="77777777" w:rsidTr="00331320">
        <w:trPr>
          <w:trHeight w:val="625"/>
        </w:trPr>
        <w:tc>
          <w:tcPr>
            <w:tcW w:w="2972" w:type="dxa"/>
          </w:tcPr>
          <w:p w14:paraId="4A5D31FF" w14:textId="77777777" w:rsidR="00EB406E" w:rsidRDefault="00EB406E" w:rsidP="00ED3FD3">
            <w:pPr>
              <w:rPr>
                <w:b/>
                <w:bCs/>
              </w:rPr>
            </w:pPr>
            <w:r>
              <w:rPr>
                <w:b/>
                <w:bCs/>
              </w:rPr>
              <w:t>Mettre en œuvre les mesures liées à la biodiversité</w:t>
            </w:r>
          </w:p>
          <w:p w14:paraId="5335E288" w14:textId="77777777" w:rsidR="00EB406E" w:rsidRDefault="00EB406E" w:rsidP="00ED3FD3">
            <w:pPr>
              <w:rPr>
                <w:b/>
                <w:bCs/>
              </w:rPr>
            </w:pPr>
          </w:p>
          <w:p w14:paraId="65D31A84" w14:textId="18D6F92B" w:rsidR="00EB406E" w:rsidRDefault="00EB406E" w:rsidP="00ED3FD3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794E851B" w14:textId="77777777" w:rsidR="00807EB9" w:rsidRDefault="00807EB9" w:rsidP="00331320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710E">
              <w:rPr>
                <w:rFonts w:asciiTheme="minorHAnsi" w:hAnsiTheme="minorHAnsi" w:cstheme="minorHAnsi"/>
                <w:sz w:val="22"/>
                <w:szCs w:val="22"/>
              </w:rPr>
              <w:t xml:space="preserve">Suivi et coordination des projets en lien avec 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biodiversité</w:t>
            </w:r>
          </w:p>
          <w:p w14:paraId="6EAD24F3" w14:textId="3E78BBDA" w:rsidR="001101A4" w:rsidRPr="00331320" w:rsidRDefault="001101A4" w:rsidP="00331320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4A55DD9B" w14:textId="1C20D6D9" w:rsidR="004A34F0" w:rsidRDefault="004A34F0" w:rsidP="00EF3303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14:paraId="4D82A572" w14:textId="77777777" w:rsidR="003473D8" w:rsidRDefault="004A34F0" w:rsidP="003473D8">
      <w:r w:rsidRPr="00E40B8D">
        <w:t>*Articulation avec les experts énergie</w:t>
      </w:r>
      <w:r>
        <w:t xml:space="preserve"> : Audit énergétiques, contrôle des bilans thermiques et formulaires énergies, contrôle de chantier sont réalisés par des pro-certifiés. Les bureaux intercommunaux pour ce type de prestation sont une option pour les petites communes. </w:t>
      </w:r>
    </w:p>
    <w:p w14:paraId="4F39E1C7" w14:textId="77777777" w:rsidR="003473D8" w:rsidRDefault="003473D8" w:rsidP="003473D8"/>
    <w:p w14:paraId="18888BD0" w14:textId="62514CB6" w:rsidR="004A34F0" w:rsidRDefault="00ED3FD3" w:rsidP="00A57006">
      <w:pPr>
        <w:rPr>
          <w:rFonts w:cs="Calibri"/>
          <w:b/>
          <w:bCs/>
        </w:rPr>
      </w:pPr>
      <w:r>
        <w:rPr>
          <w:rFonts w:cs="Calibri"/>
          <w:b/>
          <w:bCs/>
        </w:rPr>
        <w:t>Profil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FB7F78" w14:paraId="1D9BD183" w14:textId="77777777" w:rsidTr="001A2CD5">
        <w:tc>
          <w:tcPr>
            <w:tcW w:w="1838" w:type="dxa"/>
          </w:tcPr>
          <w:p w14:paraId="5157914C" w14:textId="77777777" w:rsidR="00FB7F78" w:rsidRPr="00FB7F78" w:rsidRDefault="00FB7F78" w:rsidP="00FB7F78">
            <w:pPr>
              <w:rPr>
                <w:rFonts w:cstheme="minorHAnsi"/>
                <w:b/>
              </w:rPr>
            </w:pPr>
            <w:r w:rsidRPr="00FB7F78">
              <w:rPr>
                <w:rFonts w:cstheme="minorHAnsi"/>
                <w:b/>
              </w:rPr>
              <w:t>Formation</w:t>
            </w:r>
          </w:p>
          <w:p w14:paraId="66BC77E6" w14:textId="77777777" w:rsidR="00FB7F78" w:rsidRPr="00FB7F78" w:rsidRDefault="00FB7F78" w:rsidP="00A570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71" w:type="dxa"/>
          </w:tcPr>
          <w:p w14:paraId="4153FA7C" w14:textId="77777777" w:rsidR="00FB7F78" w:rsidRPr="00FB7F78" w:rsidRDefault="00FB7F78" w:rsidP="00FB7F78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7F78">
              <w:rPr>
                <w:rFonts w:asciiTheme="minorHAnsi" w:hAnsiTheme="minorHAnsi" w:cstheme="minorHAnsi"/>
                <w:sz w:val="22"/>
                <w:szCs w:val="22"/>
              </w:rPr>
              <w:t xml:space="preserve">Master ou titre jugé équivalent dans les domaines du climat, de la durabilité, de l’énergie, de la mobilité ou de la biodiversité. </w:t>
            </w:r>
          </w:p>
          <w:p w14:paraId="6750B0CF" w14:textId="77777777" w:rsidR="00FB7F78" w:rsidRPr="00FB7F78" w:rsidRDefault="00FB7F78" w:rsidP="00A57006">
            <w:pPr>
              <w:rPr>
                <w:rFonts w:cstheme="minorHAnsi"/>
                <w:b/>
                <w:bCs/>
              </w:rPr>
            </w:pPr>
          </w:p>
        </w:tc>
      </w:tr>
      <w:tr w:rsidR="00FB7F78" w14:paraId="2E0C6DA3" w14:textId="77777777" w:rsidTr="001A2CD5">
        <w:tc>
          <w:tcPr>
            <w:tcW w:w="1838" w:type="dxa"/>
          </w:tcPr>
          <w:p w14:paraId="41A50E79" w14:textId="77777777" w:rsidR="00FB7F78" w:rsidRPr="00FB7F78" w:rsidRDefault="00FB7F78" w:rsidP="00FB7F78">
            <w:pPr>
              <w:rPr>
                <w:rFonts w:eastAsia="Times New Roman" w:cstheme="minorHAnsi"/>
                <w:b/>
              </w:rPr>
            </w:pPr>
            <w:r w:rsidRPr="00FB7F78">
              <w:rPr>
                <w:rFonts w:eastAsia="Times New Roman" w:cstheme="minorHAnsi"/>
                <w:b/>
              </w:rPr>
              <w:t>Expériences</w:t>
            </w:r>
          </w:p>
          <w:p w14:paraId="7DC16009" w14:textId="77777777" w:rsidR="00FB7F78" w:rsidRPr="00FB7F78" w:rsidRDefault="00FB7F78" w:rsidP="00A570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71" w:type="dxa"/>
          </w:tcPr>
          <w:p w14:paraId="6DBD352C" w14:textId="57A0F596" w:rsidR="00FB7F78" w:rsidRPr="00FB7F78" w:rsidRDefault="00FB7F78" w:rsidP="00FB7F78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7F78">
              <w:rPr>
                <w:rFonts w:asciiTheme="minorHAnsi" w:hAnsiTheme="minorHAnsi" w:cstheme="minorHAnsi"/>
                <w:sz w:val="22"/>
                <w:szCs w:val="22"/>
              </w:rPr>
              <w:t xml:space="preserve">Expérience pratique dans une commune ou en collaboration avec les communes dans les domaines précités. </w:t>
            </w:r>
          </w:p>
          <w:p w14:paraId="7E8E241D" w14:textId="77777777" w:rsidR="00FB7F78" w:rsidRPr="00FB7F78" w:rsidRDefault="00FB7F78" w:rsidP="00A57006">
            <w:pPr>
              <w:rPr>
                <w:rFonts w:cstheme="minorHAnsi"/>
                <w:b/>
                <w:bCs/>
              </w:rPr>
            </w:pPr>
          </w:p>
        </w:tc>
      </w:tr>
      <w:tr w:rsidR="00FB7F78" w14:paraId="03002F9F" w14:textId="77777777" w:rsidTr="001A2CD5">
        <w:tc>
          <w:tcPr>
            <w:tcW w:w="1838" w:type="dxa"/>
          </w:tcPr>
          <w:p w14:paraId="64498B8D" w14:textId="77777777" w:rsidR="00FB7F78" w:rsidRPr="00FB7F78" w:rsidRDefault="00FB7F78" w:rsidP="00FB7F78">
            <w:pPr>
              <w:rPr>
                <w:rFonts w:eastAsia="Times New Roman" w:cstheme="minorHAnsi"/>
                <w:b/>
              </w:rPr>
            </w:pPr>
            <w:r w:rsidRPr="00FB7F78">
              <w:rPr>
                <w:rFonts w:eastAsia="Times New Roman" w:cstheme="minorHAnsi"/>
                <w:b/>
              </w:rPr>
              <w:t>Connaissances</w:t>
            </w:r>
          </w:p>
          <w:p w14:paraId="2DD6DEDB" w14:textId="77777777" w:rsidR="00FB7F78" w:rsidRPr="00FB7F78" w:rsidRDefault="00FB7F78" w:rsidP="00A570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71" w:type="dxa"/>
          </w:tcPr>
          <w:p w14:paraId="1CE96B81" w14:textId="70A4A38E" w:rsidR="00FB7F78" w:rsidRPr="00FB7F78" w:rsidRDefault="00FB7F78" w:rsidP="00FB7F78">
            <w:pPr>
              <w:pStyle w:val="Paragraphedeliste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7F78">
              <w:rPr>
                <w:rFonts w:asciiTheme="minorHAnsi" w:hAnsiTheme="minorHAnsi" w:cstheme="minorHAnsi"/>
                <w:sz w:val="22"/>
                <w:szCs w:val="22"/>
              </w:rPr>
              <w:t>Connaissances de base sur l’ensemble des thèmes du catalogue de fiche-actions d</w:t>
            </w:r>
            <w:r w:rsidR="00210CF4">
              <w:rPr>
                <w:rFonts w:asciiTheme="minorHAnsi" w:hAnsiTheme="minorHAnsi" w:cstheme="minorHAnsi"/>
                <w:sz w:val="22"/>
                <w:szCs w:val="22"/>
              </w:rPr>
              <w:t>u Canton</w:t>
            </w:r>
          </w:p>
          <w:p w14:paraId="330A2FD6" w14:textId="77777777" w:rsidR="00FB7F78" w:rsidRPr="00FB7F78" w:rsidRDefault="00FB7F78" w:rsidP="00FB7F78">
            <w:pPr>
              <w:pStyle w:val="Paragraphedeliste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7F78">
              <w:rPr>
                <w:rFonts w:asciiTheme="minorHAnsi" w:hAnsiTheme="minorHAnsi" w:cstheme="minorHAnsi"/>
                <w:sz w:val="22"/>
                <w:szCs w:val="22"/>
              </w:rPr>
              <w:t>Connaissances spécifiques sur plusieurs thèmes liés à l’énergie, au climat et à la durabilité, notamment : aménagement du territoire, bâtiments, production énergétique, mobilité, biodiversité, dangers climatiques.</w:t>
            </w:r>
          </w:p>
          <w:p w14:paraId="1BFE82D1" w14:textId="77777777" w:rsidR="00FB7F78" w:rsidRDefault="00FB7F78" w:rsidP="00FB7F78">
            <w:pPr>
              <w:pStyle w:val="Paragraphedeliste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7F78">
              <w:rPr>
                <w:rFonts w:asciiTheme="minorHAnsi" w:hAnsiTheme="minorHAnsi" w:cstheme="minorHAnsi"/>
                <w:sz w:val="22"/>
                <w:szCs w:val="22"/>
              </w:rPr>
              <w:t>Connaissances de base de la politique climatique de la Confédération et du Canton de Vaud, ainsi que des leviers d’actions des communes vaudoises dans ces domaines</w:t>
            </w:r>
          </w:p>
          <w:p w14:paraId="27304CD4" w14:textId="00A41D71" w:rsidR="00331320" w:rsidRPr="00FB7F78" w:rsidRDefault="00331320" w:rsidP="00331320">
            <w:pPr>
              <w:pStyle w:val="Paragraphedelis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F78" w14:paraId="6AF39277" w14:textId="77777777" w:rsidTr="001A2CD5">
        <w:tc>
          <w:tcPr>
            <w:tcW w:w="1838" w:type="dxa"/>
          </w:tcPr>
          <w:p w14:paraId="7B03CD0B" w14:textId="77777777" w:rsidR="00FB7F78" w:rsidRPr="00FB7F78" w:rsidRDefault="00FB7F78" w:rsidP="00FB7F78">
            <w:pPr>
              <w:rPr>
                <w:rFonts w:eastAsia="Times New Roman" w:cstheme="minorHAnsi"/>
                <w:b/>
              </w:rPr>
            </w:pPr>
            <w:r w:rsidRPr="00FB7F78">
              <w:rPr>
                <w:rFonts w:eastAsia="Times New Roman" w:cstheme="minorHAnsi"/>
                <w:b/>
              </w:rPr>
              <w:t>Autre</w:t>
            </w:r>
          </w:p>
          <w:p w14:paraId="392F88A1" w14:textId="77777777" w:rsidR="00FB7F78" w:rsidRPr="00FB7F78" w:rsidRDefault="00FB7F78" w:rsidP="00A570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71" w:type="dxa"/>
          </w:tcPr>
          <w:p w14:paraId="6FB98361" w14:textId="0DED53A3" w:rsidR="00FB7F78" w:rsidRPr="00FB7F78" w:rsidRDefault="00FB7F78" w:rsidP="00FB7F78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7F78">
              <w:rPr>
                <w:rFonts w:asciiTheme="minorHAnsi" w:hAnsiTheme="minorHAnsi" w:cstheme="minorHAnsi"/>
                <w:sz w:val="22"/>
                <w:szCs w:val="22"/>
              </w:rPr>
              <w:t>Absence de conflits d’intérêt</w:t>
            </w:r>
            <w:r w:rsidR="003313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B7F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996639" w14:textId="77777777" w:rsidR="00FB7F78" w:rsidRPr="00FB7F78" w:rsidRDefault="00FB7F78" w:rsidP="00A57006">
            <w:pPr>
              <w:rPr>
                <w:rFonts w:cstheme="minorHAnsi"/>
                <w:b/>
                <w:bCs/>
              </w:rPr>
            </w:pPr>
          </w:p>
        </w:tc>
      </w:tr>
      <w:tr w:rsidR="00FB7F78" w14:paraId="4D6F77FD" w14:textId="77777777" w:rsidTr="001A2CD5">
        <w:tc>
          <w:tcPr>
            <w:tcW w:w="1838" w:type="dxa"/>
          </w:tcPr>
          <w:p w14:paraId="0816F95F" w14:textId="77777777" w:rsidR="00FB7F78" w:rsidRPr="00FB7F78" w:rsidRDefault="00FB7F78" w:rsidP="00FB7F78">
            <w:pPr>
              <w:rPr>
                <w:rFonts w:cstheme="minorHAnsi"/>
                <w:b/>
                <w:bCs/>
              </w:rPr>
            </w:pPr>
            <w:r w:rsidRPr="00FB7F78">
              <w:rPr>
                <w:rFonts w:cstheme="minorHAnsi"/>
                <w:b/>
                <w:bCs/>
              </w:rPr>
              <w:t>Références</w:t>
            </w:r>
          </w:p>
          <w:p w14:paraId="6386418E" w14:textId="77777777" w:rsidR="00FB7F78" w:rsidRPr="00FB7F78" w:rsidRDefault="00FB7F78" w:rsidP="00FB7F78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371" w:type="dxa"/>
          </w:tcPr>
          <w:p w14:paraId="645F2F44" w14:textId="2836D55A" w:rsidR="00FB7F78" w:rsidRPr="00FB7F78" w:rsidRDefault="00FB7F78" w:rsidP="00FB7F78">
            <w:pPr>
              <w:rPr>
                <w:rFonts w:cstheme="minorHAnsi"/>
              </w:rPr>
            </w:pPr>
            <w:r w:rsidRPr="00FB7F78">
              <w:rPr>
                <w:rFonts w:cstheme="minorHAnsi"/>
              </w:rPr>
              <w:t>L</w:t>
            </w:r>
            <w:r w:rsidR="00210CF4">
              <w:rPr>
                <w:rFonts w:cstheme="minorHAnsi"/>
              </w:rPr>
              <w:t>e Canton</w:t>
            </w:r>
            <w:r w:rsidRPr="00FB7F78">
              <w:rPr>
                <w:rFonts w:cstheme="minorHAnsi"/>
              </w:rPr>
              <w:t xml:space="preserve"> demande 2 références couvrant minimum 2 volets du catalogue de fiches-action (transversal, énergie et mobilité, adaptation) dans le cadre des demandes de subvention. </w:t>
            </w:r>
          </w:p>
          <w:p w14:paraId="308DDD4C" w14:textId="77777777" w:rsidR="00FB7F78" w:rsidRPr="00FB7F78" w:rsidRDefault="00FB7F78" w:rsidP="00FB7F78">
            <w:pPr>
              <w:pStyle w:val="Paragraphedelis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FCFDFF" w14:textId="7FBF2A3E" w:rsidR="003473D8" w:rsidRPr="003473D8" w:rsidRDefault="003473D8" w:rsidP="0084627C">
      <w:pPr>
        <w:pStyle w:val="Paragraphedeliste"/>
        <w:ind w:left="1440"/>
      </w:pPr>
    </w:p>
    <w:sectPr w:rsidR="003473D8" w:rsidRPr="003473D8" w:rsidSect="004A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EC6F" w14:textId="77777777" w:rsidR="002C6682" w:rsidRDefault="002C6682" w:rsidP="002C6682">
      <w:pPr>
        <w:spacing w:after="0" w:line="240" w:lineRule="auto"/>
      </w:pPr>
      <w:r>
        <w:separator/>
      </w:r>
    </w:p>
  </w:endnote>
  <w:endnote w:type="continuationSeparator" w:id="0">
    <w:p w14:paraId="44CAC5F9" w14:textId="77777777" w:rsidR="002C6682" w:rsidRDefault="002C6682" w:rsidP="002C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7361" w14:textId="77777777" w:rsidR="002C6682" w:rsidRDefault="002C6682" w:rsidP="002C6682">
      <w:pPr>
        <w:spacing w:after="0" w:line="240" w:lineRule="auto"/>
      </w:pPr>
      <w:r>
        <w:separator/>
      </w:r>
    </w:p>
  </w:footnote>
  <w:footnote w:type="continuationSeparator" w:id="0">
    <w:p w14:paraId="19474728" w14:textId="77777777" w:rsidR="002C6682" w:rsidRDefault="002C6682" w:rsidP="002C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60B"/>
    <w:multiLevelType w:val="hybridMultilevel"/>
    <w:tmpl w:val="6CBCE42C"/>
    <w:lvl w:ilvl="0" w:tplc="1FB6DC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0B89"/>
    <w:multiLevelType w:val="hybridMultilevel"/>
    <w:tmpl w:val="8460B92A"/>
    <w:lvl w:ilvl="0" w:tplc="1FB6DC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E07"/>
    <w:multiLevelType w:val="hybridMultilevel"/>
    <w:tmpl w:val="0178C7F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92124"/>
    <w:multiLevelType w:val="hybridMultilevel"/>
    <w:tmpl w:val="143824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36A8"/>
    <w:multiLevelType w:val="hybridMultilevel"/>
    <w:tmpl w:val="1820DBC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F7721"/>
    <w:multiLevelType w:val="hybridMultilevel"/>
    <w:tmpl w:val="84B69B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0A1"/>
    <w:multiLevelType w:val="hybridMultilevel"/>
    <w:tmpl w:val="B66247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6BAB"/>
    <w:multiLevelType w:val="hybridMultilevel"/>
    <w:tmpl w:val="C45CAFDC"/>
    <w:lvl w:ilvl="0" w:tplc="1FB6DC4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957A8"/>
    <w:multiLevelType w:val="hybridMultilevel"/>
    <w:tmpl w:val="B576038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20A3"/>
    <w:multiLevelType w:val="hybridMultilevel"/>
    <w:tmpl w:val="91003F4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9274F"/>
    <w:multiLevelType w:val="hybridMultilevel"/>
    <w:tmpl w:val="9C5A9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47B9"/>
    <w:multiLevelType w:val="hybridMultilevel"/>
    <w:tmpl w:val="A7005A4A"/>
    <w:lvl w:ilvl="0" w:tplc="1FB6DC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E02E0"/>
    <w:multiLevelType w:val="hybridMultilevel"/>
    <w:tmpl w:val="DFBA5F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7B43"/>
    <w:multiLevelType w:val="hybridMultilevel"/>
    <w:tmpl w:val="12DE52F4"/>
    <w:lvl w:ilvl="0" w:tplc="BBF89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8F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6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8D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0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A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44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63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C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E94B70"/>
    <w:multiLevelType w:val="hybridMultilevel"/>
    <w:tmpl w:val="EAB4B388"/>
    <w:lvl w:ilvl="0" w:tplc="1FB6DC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2273"/>
    <w:multiLevelType w:val="hybridMultilevel"/>
    <w:tmpl w:val="BDB08EE4"/>
    <w:lvl w:ilvl="0" w:tplc="1FB6DC4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84C3F"/>
    <w:multiLevelType w:val="hybridMultilevel"/>
    <w:tmpl w:val="B2F4C90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C7A8C"/>
    <w:multiLevelType w:val="hybridMultilevel"/>
    <w:tmpl w:val="DFF65B8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0BE0"/>
    <w:multiLevelType w:val="hybridMultilevel"/>
    <w:tmpl w:val="1988E7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6CB1"/>
    <w:multiLevelType w:val="hybridMultilevel"/>
    <w:tmpl w:val="21E6C99C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065F6A"/>
    <w:multiLevelType w:val="hybridMultilevel"/>
    <w:tmpl w:val="74BA682A"/>
    <w:lvl w:ilvl="0" w:tplc="1FB6DC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001F8"/>
    <w:multiLevelType w:val="hybridMultilevel"/>
    <w:tmpl w:val="3498F5AE"/>
    <w:lvl w:ilvl="0" w:tplc="B53C424C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B7CC97C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1686"/>
    <w:multiLevelType w:val="hybridMultilevel"/>
    <w:tmpl w:val="6916FA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34B78"/>
    <w:multiLevelType w:val="hybridMultilevel"/>
    <w:tmpl w:val="1EBC961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8A392B"/>
    <w:multiLevelType w:val="hybridMultilevel"/>
    <w:tmpl w:val="D7F426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D7D98"/>
    <w:multiLevelType w:val="hybridMultilevel"/>
    <w:tmpl w:val="EAD201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D473A"/>
    <w:multiLevelType w:val="hybridMultilevel"/>
    <w:tmpl w:val="58368C14"/>
    <w:lvl w:ilvl="0" w:tplc="EC6EC02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0C35EC"/>
    <w:multiLevelType w:val="hybridMultilevel"/>
    <w:tmpl w:val="9B2214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61819"/>
    <w:multiLevelType w:val="hybridMultilevel"/>
    <w:tmpl w:val="6FD4B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310A1"/>
    <w:multiLevelType w:val="hybridMultilevel"/>
    <w:tmpl w:val="405A22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C53D6"/>
    <w:multiLevelType w:val="hybridMultilevel"/>
    <w:tmpl w:val="1AC09E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47AFA"/>
    <w:multiLevelType w:val="hybridMultilevel"/>
    <w:tmpl w:val="6DF27A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40EE8"/>
    <w:multiLevelType w:val="hybridMultilevel"/>
    <w:tmpl w:val="3AC4C3E4"/>
    <w:lvl w:ilvl="0" w:tplc="B7CC9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435052">
    <w:abstractNumId w:val="21"/>
  </w:num>
  <w:num w:numId="2" w16cid:durableId="1579170004">
    <w:abstractNumId w:val="16"/>
  </w:num>
  <w:num w:numId="3" w16cid:durableId="761032607">
    <w:abstractNumId w:val="13"/>
  </w:num>
  <w:num w:numId="4" w16cid:durableId="1512599567">
    <w:abstractNumId w:val="32"/>
  </w:num>
  <w:num w:numId="5" w16cid:durableId="391273493">
    <w:abstractNumId w:val="17"/>
  </w:num>
  <w:num w:numId="6" w16cid:durableId="447701702">
    <w:abstractNumId w:val="25"/>
  </w:num>
  <w:num w:numId="7" w16cid:durableId="929898041">
    <w:abstractNumId w:val="3"/>
  </w:num>
  <w:num w:numId="8" w16cid:durableId="1057974841">
    <w:abstractNumId w:val="4"/>
  </w:num>
  <w:num w:numId="9" w16cid:durableId="1146432297">
    <w:abstractNumId w:val="9"/>
  </w:num>
  <w:num w:numId="10" w16cid:durableId="1293249379">
    <w:abstractNumId w:val="19"/>
  </w:num>
  <w:num w:numId="11" w16cid:durableId="92164960">
    <w:abstractNumId w:val="28"/>
  </w:num>
  <w:num w:numId="12" w16cid:durableId="1923298008">
    <w:abstractNumId w:val="30"/>
  </w:num>
  <w:num w:numId="13" w16cid:durableId="1117480901">
    <w:abstractNumId w:val="8"/>
  </w:num>
  <w:num w:numId="14" w16cid:durableId="228813530">
    <w:abstractNumId w:val="18"/>
  </w:num>
  <w:num w:numId="15" w16cid:durableId="1500467924">
    <w:abstractNumId w:val="2"/>
  </w:num>
  <w:num w:numId="16" w16cid:durableId="1311057808">
    <w:abstractNumId w:val="10"/>
  </w:num>
  <w:num w:numId="17" w16cid:durableId="1308705139">
    <w:abstractNumId w:val="14"/>
  </w:num>
  <w:num w:numId="18" w16cid:durableId="982664153">
    <w:abstractNumId w:val="7"/>
  </w:num>
  <w:num w:numId="19" w16cid:durableId="568881290">
    <w:abstractNumId w:val="1"/>
  </w:num>
  <w:num w:numId="20" w16cid:durableId="195243873">
    <w:abstractNumId w:val="15"/>
  </w:num>
  <w:num w:numId="21" w16cid:durableId="224343061">
    <w:abstractNumId w:val="31"/>
  </w:num>
  <w:num w:numId="22" w16cid:durableId="2105420257">
    <w:abstractNumId w:val="0"/>
  </w:num>
  <w:num w:numId="23" w16cid:durableId="318073685">
    <w:abstractNumId w:val="11"/>
  </w:num>
  <w:num w:numId="24" w16cid:durableId="584847620">
    <w:abstractNumId w:val="20"/>
  </w:num>
  <w:num w:numId="25" w16cid:durableId="414136252">
    <w:abstractNumId w:val="29"/>
  </w:num>
  <w:num w:numId="26" w16cid:durableId="288509886">
    <w:abstractNumId w:val="12"/>
  </w:num>
  <w:num w:numId="27" w16cid:durableId="10038626">
    <w:abstractNumId w:val="5"/>
  </w:num>
  <w:num w:numId="28" w16cid:durableId="1890653078">
    <w:abstractNumId w:val="26"/>
  </w:num>
  <w:num w:numId="29" w16cid:durableId="1470317921">
    <w:abstractNumId w:val="23"/>
  </w:num>
  <w:num w:numId="30" w16cid:durableId="108791113">
    <w:abstractNumId w:val="24"/>
  </w:num>
  <w:num w:numId="31" w16cid:durableId="818153745">
    <w:abstractNumId w:val="6"/>
  </w:num>
  <w:num w:numId="32" w16cid:durableId="1915776202">
    <w:abstractNumId w:val="22"/>
  </w:num>
  <w:num w:numId="33" w16cid:durableId="71733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D5"/>
    <w:rsid w:val="00003B4C"/>
    <w:rsid w:val="00010710"/>
    <w:rsid w:val="00013707"/>
    <w:rsid w:val="00021043"/>
    <w:rsid w:val="00031003"/>
    <w:rsid w:val="0003347E"/>
    <w:rsid w:val="00071CF6"/>
    <w:rsid w:val="00092246"/>
    <w:rsid w:val="000A1644"/>
    <w:rsid w:val="000A166F"/>
    <w:rsid w:val="001101A4"/>
    <w:rsid w:val="001A2CD5"/>
    <w:rsid w:val="001A69BD"/>
    <w:rsid w:val="00204E42"/>
    <w:rsid w:val="00210CF4"/>
    <w:rsid w:val="0023207D"/>
    <w:rsid w:val="00240CC9"/>
    <w:rsid w:val="00261E24"/>
    <w:rsid w:val="002827C7"/>
    <w:rsid w:val="002853FD"/>
    <w:rsid w:val="002870D6"/>
    <w:rsid w:val="002C6682"/>
    <w:rsid w:val="002C788F"/>
    <w:rsid w:val="0032656E"/>
    <w:rsid w:val="00331320"/>
    <w:rsid w:val="003473D8"/>
    <w:rsid w:val="003E7556"/>
    <w:rsid w:val="003F3830"/>
    <w:rsid w:val="0040296C"/>
    <w:rsid w:val="00431D70"/>
    <w:rsid w:val="00455484"/>
    <w:rsid w:val="00456F34"/>
    <w:rsid w:val="004A34F0"/>
    <w:rsid w:val="004E4AF7"/>
    <w:rsid w:val="004E5DE8"/>
    <w:rsid w:val="004F21E5"/>
    <w:rsid w:val="004F73E4"/>
    <w:rsid w:val="005127FF"/>
    <w:rsid w:val="00532561"/>
    <w:rsid w:val="00545859"/>
    <w:rsid w:val="00581F16"/>
    <w:rsid w:val="006112C5"/>
    <w:rsid w:val="00630C68"/>
    <w:rsid w:val="00643DD0"/>
    <w:rsid w:val="00647CC6"/>
    <w:rsid w:val="006A332F"/>
    <w:rsid w:val="006B407D"/>
    <w:rsid w:val="00791FD3"/>
    <w:rsid w:val="00807EB9"/>
    <w:rsid w:val="008109C7"/>
    <w:rsid w:val="0084627C"/>
    <w:rsid w:val="008A2FD7"/>
    <w:rsid w:val="009106D6"/>
    <w:rsid w:val="00912DB8"/>
    <w:rsid w:val="00965CC6"/>
    <w:rsid w:val="009C4A46"/>
    <w:rsid w:val="009C5218"/>
    <w:rsid w:val="009D7343"/>
    <w:rsid w:val="00A16245"/>
    <w:rsid w:val="00A21F67"/>
    <w:rsid w:val="00A4377B"/>
    <w:rsid w:val="00A50801"/>
    <w:rsid w:val="00A57006"/>
    <w:rsid w:val="00A938D9"/>
    <w:rsid w:val="00AA7DA1"/>
    <w:rsid w:val="00AC14D5"/>
    <w:rsid w:val="00B3130B"/>
    <w:rsid w:val="00B543A4"/>
    <w:rsid w:val="00B878F4"/>
    <w:rsid w:val="00B9398A"/>
    <w:rsid w:val="00BA78F2"/>
    <w:rsid w:val="00BB72C9"/>
    <w:rsid w:val="00BD4FE4"/>
    <w:rsid w:val="00C107DF"/>
    <w:rsid w:val="00C80448"/>
    <w:rsid w:val="00CA70B4"/>
    <w:rsid w:val="00CC352B"/>
    <w:rsid w:val="00CF674C"/>
    <w:rsid w:val="00D02BFF"/>
    <w:rsid w:val="00DA1ABA"/>
    <w:rsid w:val="00E001E8"/>
    <w:rsid w:val="00E14975"/>
    <w:rsid w:val="00E23031"/>
    <w:rsid w:val="00E40B8D"/>
    <w:rsid w:val="00E53DF4"/>
    <w:rsid w:val="00E57B74"/>
    <w:rsid w:val="00E60C90"/>
    <w:rsid w:val="00EB406E"/>
    <w:rsid w:val="00EC710E"/>
    <w:rsid w:val="00ED3FD3"/>
    <w:rsid w:val="00EF3303"/>
    <w:rsid w:val="00F85963"/>
    <w:rsid w:val="00F93991"/>
    <w:rsid w:val="00FB7F78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1B1B4"/>
  <w15:chartTrackingRefBased/>
  <w15:docId w15:val="{A86990C5-FBC0-4058-9A4B-46B6602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14D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4D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AC14D5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fr-FR" w:eastAsia="fr-CH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C14D5"/>
    <w:rPr>
      <w:rFonts w:ascii="Arial" w:eastAsia="Times New Roman" w:hAnsi="Arial" w:cs="Times New Roman"/>
      <w:sz w:val="20"/>
      <w:szCs w:val="20"/>
      <w:lang w:val="fr-FR" w:eastAsia="fr-CH"/>
    </w:rPr>
  </w:style>
  <w:style w:type="paragraph" w:styleId="Titre">
    <w:name w:val="Title"/>
    <w:basedOn w:val="Normal"/>
    <w:next w:val="Normal"/>
    <w:link w:val="TitreCar"/>
    <w:uiPriority w:val="10"/>
    <w:qFormat/>
    <w:rsid w:val="008109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C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682"/>
  </w:style>
  <w:style w:type="paragraph" w:styleId="Pieddepage">
    <w:name w:val="footer"/>
    <w:basedOn w:val="Normal"/>
    <w:link w:val="PieddepageCar"/>
    <w:uiPriority w:val="99"/>
    <w:unhideWhenUsed/>
    <w:rsid w:val="002C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682"/>
  </w:style>
  <w:style w:type="table" w:styleId="Grilledutableau">
    <w:name w:val="Table Grid"/>
    <w:basedOn w:val="TableauNormal"/>
    <w:uiPriority w:val="59"/>
    <w:rsid w:val="00B8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ED3F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D02BF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02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2B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2B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B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533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B7D7-E415-41E6-85EC-BC4F691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Currit Sofia</dc:creator>
  <cp:keywords/>
  <dc:description/>
  <cp:lastModifiedBy>Currit Sofia</cp:lastModifiedBy>
  <cp:revision>12</cp:revision>
  <dcterms:created xsi:type="dcterms:W3CDTF">2025-02-17T12:48:00Z</dcterms:created>
  <dcterms:modified xsi:type="dcterms:W3CDTF">2025-03-27T13:12:00Z</dcterms:modified>
</cp:coreProperties>
</file>